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46" w:rsidRPr="003B62EB" w:rsidRDefault="00743746" w:rsidP="00743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uk-UA" w:eastAsia="ru-RU"/>
        </w:rPr>
      </w:pPr>
      <w:r w:rsidRPr="003B62EB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val="uk-UA" w:eastAsia="ru-RU"/>
        </w:rPr>
        <w:t>Шановні клієнти, сертифіковані за ДСТУ ISO 22000, ISO 22000</w:t>
      </w:r>
    </w:p>
    <w:p w:rsidR="00743746" w:rsidRPr="0072454B" w:rsidRDefault="00743746" w:rsidP="00743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743746" w:rsidRDefault="00743746" w:rsidP="00743746">
      <w:pPr>
        <w:tabs>
          <w:tab w:val="left" w:pos="720"/>
          <w:tab w:val="left" w:pos="39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74374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uk-UA" w:eastAsia="ru-RU"/>
        </w:rPr>
        <w:t>ОС ТОВ «ЦЕНТР СУЧАСНИХ СИСТЕМ МЕНЕДЖМЕНТУ» повідомляє,</w:t>
      </w: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що в червні 2022 року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за результатами</w:t>
      </w: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перегляду ISO/TS 22003:2013 було прийнято стандарт </w:t>
      </w:r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ISO 22003-1:2022 «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Food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safety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—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Part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1: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Requirements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for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bodies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providing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audit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and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certification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of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food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safety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management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systems</w:t>
      </w:r>
      <w:proofErr w:type="spellEnd"/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» ( «Безпечність харчових продуктів. Частина 1. Вимоги до органів, що здійснюють аудит та сертифікацію систем керування безпечністю харчових продуктів»).</w:t>
      </w:r>
    </w:p>
    <w:p w:rsidR="00743746" w:rsidRDefault="00743746" w:rsidP="00743746">
      <w:pPr>
        <w:tabs>
          <w:tab w:val="left" w:pos="720"/>
          <w:tab w:val="left" w:pos="39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743746" w:rsidRPr="0072454B" w:rsidRDefault="00743746" w:rsidP="0074374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Оновлений стандарт застосовується Національним агентством з акредитації України під час акредитації органів з сертифікації систем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менеджменту</w:t>
      </w: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, тому орган з сертифікації </w:t>
      </w:r>
      <w:r w:rsidRPr="00D97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 «ЦЕНТР СУЧАСНИХ СИСТЕМ МЕНЕДЖМЕНТУ»</w:t>
      </w: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зобов’язаний йому відповідати.</w:t>
      </w:r>
    </w:p>
    <w:p w:rsidR="00743746" w:rsidRPr="003B62EB" w:rsidRDefault="00743746" w:rsidP="00743746">
      <w:pPr>
        <w:tabs>
          <w:tab w:val="left" w:pos="720"/>
          <w:tab w:val="left" w:pos="39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Згідно вимог обов’язкового документу  </w:t>
      </w:r>
      <w:r w:rsidRPr="003B62E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IAF MD 27:2023 «Вимоги до переходу на нову версію стандарту </w:t>
      </w:r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ISO 22003-1:2022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» ОС має використовувати  нову версію </w:t>
      </w:r>
      <w:r w:rsidRPr="00D97A5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ISO 22003-1:2022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для усіх клієнтів не пізніше 30 місяців з місяця публікації документа – </w:t>
      </w:r>
      <w:r w:rsidRPr="003B62EB">
        <w:rPr>
          <w:rFonts w:ascii="Times New Roman" w:eastAsia="Times New Roman" w:hAnsi="Times New Roman" w:cs="Times New Roman"/>
          <w:b/>
          <w:i/>
          <w:color w:val="050505"/>
          <w:sz w:val="24"/>
          <w:szCs w:val="24"/>
          <w:lang w:val="uk-UA" w:eastAsia="ru-RU"/>
        </w:rPr>
        <w:t>31 грудня 2024 року.</w:t>
      </w:r>
    </w:p>
    <w:p w:rsidR="00743746" w:rsidRPr="0072454B" w:rsidRDefault="00743746" w:rsidP="0074374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Основні відмінності між ISO/TS 22003:2013 та ISO 22003-1:2022 полягають, але не обмежуються такими:</w:t>
      </w:r>
    </w:p>
    <w:p w:rsidR="00743746" w:rsidRPr="0072454B" w:rsidRDefault="00743746" w:rsidP="00743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72454B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uk-UA" w:eastAsia="ru-RU"/>
        </w:rPr>
        <w:t>Зміни в категоріях харчового ланцюга</w:t>
      </w:r>
    </w:p>
    <w:p w:rsidR="00743746" w:rsidRPr="0072454B" w:rsidRDefault="00743746" w:rsidP="0074374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Додано, вилучено або об’єднано категорії та/або </w:t>
      </w: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підкатегорі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ї харчового ланцюга, що в свою чергу може призвести до переоформлення сертифікатів на систему керування безпечністю харчових продуктів. Аналізування сфер сертифікації буде здійснюватися під час проведення чергового наглядового аудиту згідно встановленої для кожного клієнта періодичності.</w:t>
      </w:r>
    </w:p>
    <w:p w:rsidR="00743746" w:rsidRPr="0072454B" w:rsidRDefault="00743746" w:rsidP="007437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743746" w:rsidRPr="0072454B" w:rsidRDefault="00743746" w:rsidP="00743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72454B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uk-UA" w:eastAsia="ru-RU"/>
        </w:rPr>
        <w:t xml:space="preserve">Зміна </w:t>
      </w: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uk-UA" w:eastAsia="ru-RU"/>
        </w:rPr>
        <w:t>розрахунку</w:t>
      </w:r>
      <w:r w:rsidRPr="0072454B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uk-UA" w:eastAsia="ru-RU"/>
        </w:rPr>
        <w:t xml:space="preserve"> часу аудиту</w:t>
      </w:r>
    </w:p>
    <w:p w:rsidR="00743746" w:rsidRPr="0072454B" w:rsidRDefault="00743746" w:rsidP="007437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Критерії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розрахунку</w:t>
      </w: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часу аудиту змінені, і передбачається, що час аудиту збільшиться. Переглянуті документи щодо визначення часу аудиту будуть надані Вам при плануванні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чергового наглядового аудиту згідно встановленої для кожного клієнта періодичності</w:t>
      </w: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.</w:t>
      </w:r>
    </w:p>
    <w:p w:rsidR="00743746" w:rsidRPr="0072454B" w:rsidRDefault="00743746" w:rsidP="007437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743746" w:rsidRPr="00BA76AE" w:rsidRDefault="00743746" w:rsidP="00743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uk-UA" w:eastAsia="ru-RU"/>
        </w:rPr>
      </w:pPr>
      <w:r w:rsidRPr="00BA76AE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val="uk-UA"/>
        </w:rPr>
        <w:t>Зверніть увагу!!!</w:t>
      </w:r>
      <w:r w:rsidRPr="00BA76AE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uk-UA" w:eastAsia="ru-RU"/>
        </w:rPr>
        <w:t xml:space="preserve"> </w:t>
      </w:r>
    </w:p>
    <w:p w:rsidR="00743746" w:rsidRPr="0072454B" w:rsidRDefault="00743746" w:rsidP="007437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У зв’язку з переходом</w:t>
      </w:r>
      <w:r w:rsidR="00B556FE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на нову версію </w:t>
      </w:r>
      <w:r w:rsidR="00B556FE"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ISO 22003-1:2022</w:t>
      </w: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, сертифікація за ISO 22000 більше не дозволить Вам заявляти про сертифікацію ISO 22000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, тобто посилатись на те, що Ваша система керування безпечністю харчових продуктів сертифікована за </w:t>
      </w: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ISO 22000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,</w:t>
      </w: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продукті, </w:t>
      </w:r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упаковці продукту</w:t>
      </w:r>
      <w:bookmarkStart w:id="0" w:name="_GoBack"/>
      <w:bookmarkEnd w:id="0"/>
      <w:r w:rsidRPr="0072454B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>. Така заборона включає всю упаковку продукції, як первинну (яка містить продукцію), так і будь-яку зовнішню вторинну упаковку.</w:t>
      </w:r>
      <w:r w:rsidR="00B556FE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 </w:t>
      </w:r>
    </w:p>
    <w:p w:rsidR="00743746" w:rsidRPr="0072454B" w:rsidRDefault="00743746" w:rsidP="0074374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</w:pPr>
    </w:p>
    <w:p w:rsidR="00743746" w:rsidRPr="006E1B61" w:rsidRDefault="00743746" w:rsidP="007437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E1B61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Звертаємо Вашу увагу, що з метою запобігання невідповідного маркування продукції, таропакувальних матеріалів та змісту супровідної інформації необхідно завчасно підготуватись до впровадження нових вимог</w:t>
      </w:r>
    </w:p>
    <w:p w:rsidR="00743746" w:rsidRPr="0072454B" w:rsidRDefault="00743746" w:rsidP="007437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uk-UA" w:eastAsia="ru-RU"/>
        </w:rPr>
      </w:pPr>
    </w:p>
    <w:p w:rsidR="00743746" w:rsidRPr="006E1B61" w:rsidRDefault="00743746" w:rsidP="00743746">
      <w:pPr>
        <w:pStyle w:val="a9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1B61"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  <w:t xml:space="preserve">Перехідний період складає 3 роки (36 місяців) від дати публікації </w:t>
      </w:r>
      <w:r w:rsidRPr="006E1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ISO 22003-1:2022, </w:t>
      </w:r>
    </w:p>
    <w:p w:rsidR="00743746" w:rsidRPr="006E1B61" w:rsidRDefault="00743746" w:rsidP="00743746">
      <w:pPr>
        <w:pStyle w:val="a9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E1B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саме від </w:t>
      </w:r>
      <w:r w:rsidRPr="006E1B61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30 червня 2022 року</w:t>
      </w:r>
    </w:p>
    <w:p w:rsidR="00743746" w:rsidRPr="0072454B" w:rsidRDefault="00743746" w:rsidP="007437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743746" w:rsidRPr="0072454B" w:rsidRDefault="00743746" w:rsidP="007437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454B">
        <w:rPr>
          <w:rFonts w:ascii="Times New Roman" w:hAnsi="Times New Roman" w:cs="Times New Roman"/>
          <w:sz w:val="24"/>
          <w:szCs w:val="24"/>
          <w:lang w:val="uk-UA"/>
        </w:rPr>
        <w:t>У разі виникнення питань просимо звертатись</w:t>
      </w:r>
    </w:p>
    <w:p w:rsidR="00743746" w:rsidRPr="006E1B61" w:rsidRDefault="00743746" w:rsidP="00743746">
      <w:pPr>
        <w:pStyle w:val="a9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E1B61">
        <w:rPr>
          <w:rFonts w:ascii="Times New Roman" w:hAnsi="Times New Roman" w:cs="Times New Roman"/>
          <w:sz w:val="24"/>
          <w:szCs w:val="24"/>
          <w:lang w:val="uk-UA"/>
        </w:rPr>
        <w:t xml:space="preserve"> +380958946409, +380506254811</w:t>
      </w:r>
    </w:p>
    <w:p w:rsidR="0007022B" w:rsidRDefault="0007022B"/>
    <w:sectPr w:rsidR="0007022B" w:rsidSect="00743746">
      <w:pgSz w:w="11906" w:h="16838"/>
      <w:pgMar w:top="851" w:right="851" w:bottom="851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‼️" style="width:12pt;height:12pt;visibility:visible;mso-wrap-style:square" o:bullet="t">
        <v:imagedata r:id="rId1" o:title="‼️"/>
      </v:shape>
    </w:pict>
  </w:numPicBullet>
  <w:abstractNum w:abstractNumId="0">
    <w:nsid w:val="6BFE42DA"/>
    <w:multiLevelType w:val="hybridMultilevel"/>
    <w:tmpl w:val="CA246CA2"/>
    <w:lvl w:ilvl="0" w:tplc="EAA444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944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C6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261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FC3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0232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CE3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C1B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8410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CAA781E"/>
    <w:multiLevelType w:val="singleLevel"/>
    <w:tmpl w:val="A99EA9E4"/>
    <w:lvl w:ilvl="0">
      <w:start w:val="4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46"/>
    <w:rsid w:val="0007022B"/>
    <w:rsid w:val="002B4E37"/>
    <w:rsid w:val="00384B3F"/>
    <w:rsid w:val="00743746"/>
    <w:rsid w:val="00852041"/>
    <w:rsid w:val="008A302F"/>
    <w:rsid w:val="0090484C"/>
    <w:rsid w:val="00AA5069"/>
    <w:rsid w:val="00B367B4"/>
    <w:rsid w:val="00B556FE"/>
    <w:rsid w:val="00EB0935"/>
    <w:rsid w:val="00ED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EB0935"/>
    <w:pPr>
      <w:keepNext/>
      <w:numPr>
        <w:numId w:val="1"/>
      </w:numPr>
      <w:jc w:val="center"/>
      <w:outlineLvl w:val="0"/>
    </w:pPr>
    <w:rPr>
      <w:b/>
      <w:snapToGrid w:val="0"/>
      <w:sz w:val="24"/>
      <w:lang w:eastAsia="ru-RU"/>
    </w:rPr>
  </w:style>
  <w:style w:type="paragraph" w:styleId="4">
    <w:name w:val="heading 4"/>
    <w:basedOn w:val="a"/>
    <w:next w:val="a"/>
    <w:link w:val="40"/>
    <w:qFormat/>
    <w:rsid w:val="00EB0935"/>
    <w:pPr>
      <w:keepNext/>
      <w:outlineLvl w:val="3"/>
    </w:pPr>
    <w:rPr>
      <w:snapToGrid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0935"/>
    <w:rPr>
      <w:b/>
      <w:snapToGrid w:val="0"/>
      <w:sz w:val="24"/>
      <w:lang w:eastAsia="ru-RU"/>
    </w:rPr>
  </w:style>
  <w:style w:type="character" w:customStyle="1" w:styleId="40">
    <w:name w:val="Заголовок 4 Знак"/>
    <w:link w:val="4"/>
    <w:rsid w:val="00EB0935"/>
    <w:rPr>
      <w:snapToGrid w:val="0"/>
      <w:sz w:val="24"/>
      <w:lang w:eastAsia="ru-RU"/>
    </w:rPr>
  </w:style>
  <w:style w:type="paragraph" w:styleId="a3">
    <w:name w:val="Title"/>
    <w:basedOn w:val="a"/>
    <w:next w:val="a4"/>
    <w:link w:val="a5"/>
    <w:qFormat/>
    <w:rsid w:val="00EB09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B0935"/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4">
    <w:name w:val="Subtitle"/>
    <w:basedOn w:val="a3"/>
    <w:next w:val="a6"/>
    <w:link w:val="a7"/>
    <w:qFormat/>
    <w:rsid w:val="00EB0935"/>
    <w:pPr>
      <w:jc w:val="center"/>
    </w:pPr>
    <w:rPr>
      <w:i/>
      <w:iCs/>
    </w:rPr>
  </w:style>
  <w:style w:type="character" w:customStyle="1" w:styleId="a7">
    <w:name w:val="Подзаголовок Знак"/>
    <w:basedOn w:val="a0"/>
    <w:link w:val="a4"/>
    <w:rsid w:val="00EB0935"/>
    <w:rPr>
      <w:rFonts w:ascii="Arial" w:eastAsia="Lucida Sans Unicode" w:hAnsi="Arial" w:cs="Tahoma"/>
      <w:i/>
      <w:iCs/>
      <w:sz w:val="28"/>
      <w:szCs w:val="28"/>
      <w:lang w:val="ru-RU" w:eastAsia="ar-SA"/>
    </w:rPr>
  </w:style>
  <w:style w:type="paragraph" w:styleId="a6">
    <w:name w:val="Body Text"/>
    <w:basedOn w:val="a"/>
    <w:link w:val="a8"/>
    <w:uiPriority w:val="99"/>
    <w:semiHidden/>
    <w:unhideWhenUsed/>
    <w:rsid w:val="00EB0935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EB0935"/>
    <w:rPr>
      <w:lang w:val="ru-RU" w:eastAsia="ar-SA"/>
    </w:rPr>
  </w:style>
  <w:style w:type="paragraph" w:styleId="a9">
    <w:name w:val="List Paragraph"/>
    <w:basedOn w:val="a"/>
    <w:uiPriority w:val="34"/>
    <w:qFormat/>
    <w:rsid w:val="00743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EB0935"/>
    <w:pPr>
      <w:keepNext/>
      <w:numPr>
        <w:numId w:val="1"/>
      </w:numPr>
      <w:jc w:val="center"/>
      <w:outlineLvl w:val="0"/>
    </w:pPr>
    <w:rPr>
      <w:b/>
      <w:snapToGrid w:val="0"/>
      <w:sz w:val="24"/>
      <w:lang w:eastAsia="ru-RU"/>
    </w:rPr>
  </w:style>
  <w:style w:type="paragraph" w:styleId="4">
    <w:name w:val="heading 4"/>
    <w:basedOn w:val="a"/>
    <w:next w:val="a"/>
    <w:link w:val="40"/>
    <w:qFormat/>
    <w:rsid w:val="00EB0935"/>
    <w:pPr>
      <w:keepNext/>
      <w:outlineLvl w:val="3"/>
    </w:pPr>
    <w:rPr>
      <w:snapToGrid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0935"/>
    <w:rPr>
      <w:b/>
      <w:snapToGrid w:val="0"/>
      <w:sz w:val="24"/>
      <w:lang w:eastAsia="ru-RU"/>
    </w:rPr>
  </w:style>
  <w:style w:type="character" w:customStyle="1" w:styleId="40">
    <w:name w:val="Заголовок 4 Знак"/>
    <w:link w:val="4"/>
    <w:rsid w:val="00EB0935"/>
    <w:rPr>
      <w:snapToGrid w:val="0"/>
      <w:sz w:val="24"/>
      <w:lang w:eastAsia="ru-RU"/>
    </w:rPr>
  </w:style>
  <w:style w:type="paragraph" w:styleId="a3">
    <w:name w:val="Title"/>
    <w:basedOn w:val="a"/>
    <w:next w:val="a4"/>
    <w:link w:val="a5"/>
    <w:qFormat/>
    <w:rsid w:val="00EB093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B0935"/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4">
    <w:name w:val="Subtitle"/>
    <w:basedOn w:val="a3"/>
    <w:next w:val="a6"/>
    <w:link w:val="a7"/>
    <w:qFormat/>
    <w:rsid w:val="00EB0935"/>
    <w:pPr>
      <w:jc w:val="center"/>
    </w:pPr>
    <w:rPr>
      <w:i/>
      <w:iCs/>
    </w:rPr>
  </w:style>
  <w:style w:type="character" w:customStyle="1" w:styleId="a7">
    <w:name w:val="Подзаголовок Знак"/>
    <w:basedOn w:val="a0"/>
    <w:link w:val="a4"/>
    <w:rsid w:val="00EB0935"/>
    <w:rPr>
      <w:rFonts w:ascii="Arial" w:eastAsia="Lucida Sans Unicode" w:hAnsi="Arial" w:cs="Tahoma"/>
      <w:i/>
      <w:iCs/>
      <w:sz w:val="28"/>
      <w:szCs w:val="28"/>
      <w:lang w:val="ru-RU" w:eastAsia="ar-SA"/>
    </w:rPr>
  </w:style>
  <w:style w:type="paragraph" w:styleId="a6">
    <w:name w:val="Body Text"/>
    <w:basedOn w:val="a"/>
    <w:link w:val="a8"/>
    <w:uiPriority w:val="99"/>
    <w:semiHidden/>
    <w:unhideWhenUsed/>
    <w:rsid w:val="00EB0935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EB0935"/>
    <w:rPr>
      <w:lang w:val="ru-RU" w:eastAsia="ar-SA"/>
    </w:rPr>
  </w:style>
  <w:style w:type="paragraph" w:styleId="a9">
    <w:name w:val="List Paragraph"/>
    <w:basedOn w:val="a"/>
    <w:uiPriority w:val="34"/>
    <w:qFormat/>
    <w:rsid w:val="0074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 bccm</dc:creator>
  <cp:lastModifiedBy>Vika bccm</cp:lastModifiedBy>
  <cp:revision>4</cp:revision>
  <dcterms:created xsi:type="dcterms:W3CDTF">2023-12-19T14:27:00Z</dcterms:created>
  <dcterms:modified xsi:type="dcterms:W3CDTF">2023-12-24T12:59:00Z</dcterms:modified>
</cp:coreProperties>
</file>